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0A" w:rsidRPr="00E537BF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18.10.2017 № 90</w:t>
      </w:r>
    </w:p>
    <w:p w:rsidR="00DE180A" w:rsidRDefault="00DE180A" w:rsidP="00DE180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(в редакции </w:t>
      </w:r>
      <w:proofErr w:type="gramEnd"/>
    </w:p>
    <w:p w:rsidR="00DE180A" w:rsidRDefault="00DE180A" w:rsidP="00DE180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DE180A" w:rsidRDefault="00DE180A" w:rsidP="00DE180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</w:t>
      </w:r>
    </w:p>
    <w:p w:rsidR="00DE180A" w:rsidRDefault="00DE180A" w:rsidP="00DE180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______</w:t>
      </w:r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2018-2020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2018-2020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годы»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A5797B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первой категории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информационное освещение деятельности органов местного самоуправления;</w:t>
            </w:r>
          </w:p>
          <w:p w:rsidR="009124B7" w:rsidRDefault="009124B7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развитие технической и технологической основы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становления информационного общества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Кубанец;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Задачи 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F55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системного информирования населения через средства массовой информации о деятельности органов местного самоуправления сельского поселения Кубанец Тимашевского района, широкого и последовательного освещения реализации приоритетных направлений социально-экономического </w:t>
            </w:r>
            <w:r w:rsidR="00AC0B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сельского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ия Кубанец Тимашевского района;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кадрового потенциала организаций и учреждений сельского поселения Кубанец.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приобретенных базовых комплектов лицензированных программных продуктов, оргтехники, расходных материалов, ремонт, заправка картриджей 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 – 2020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24257D">
              <w:rPr>
                <w:rFonts w:ascii="Times New Roman" w:hAnsi="Times New Roman"/>
                <w:sz w:val="28"/>
                <w:szCs w:val="28"/>
                <w:lang w:eastAsia="ru-RU"/>
              </w:rPr>
              <w:t>638,0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6D317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203,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-</w:t>
            </w:r>
            <w:r w:rsidR="00933E3B" w:rsidRPr="00A5797B">
              <w:rPr>
                <w:rFonts w:ascii="Times New Roman" w:hAnsi="Times New Roman"/>
                <w:sz w:val="28"/>
                <w:szCs w:val="28"/>
                <w:lang w:eastAsia="ru-RU"/>
              </w:rPr>
              <w:t>180,0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655743">
              <w:rPr>
                <w:rFonts w:ascii="Times New Roman" w:hAnsi="Times New Roman"/>
                <w:sz w:val="28"/>
                <w:szCs w:val="28"/>
                <w:lang w:eastAsia="ru-RU"/>
              </w:rPr>
              <w:t>255,0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257D">
              <w:rPr>
                <w:rFonts w:ascii="Times New Roman" w:hAnsi="Times New Roman"/>
                <w:sz w:val="28"/>
                <w:szCs w:val="28"/>
                <w:lang w:eastAsia="ru-RU"/>
              </w:rPr>
              <w:t>638,0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203,0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>180,0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55743">
              <w:rPr>
                <w:rFonts w:ascii="Times New Roman" w:hAnsi="Times New Roman"/>
                <w:sz w:val="28"/>
                <w:szCs w:val="28"/>
                <w:lang w:eastAsia="ru-RU"/>
              </w:rPr>
              <w:t>255,0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3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Районные средства массовой информации являются основой информационного 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</w:t>
      </w:r>
      <w:proofErr w:type="gramEnd"/>
      <w:r w:rsidRPr="00F76E38">
        <w:rPr>
          <w:rFonts w:ascii="Times New Roman" w:hAnsi="Times New Roman" w:cs="Times New Roman"/>
          <w:sz w:val="28"/>
          <w:szCs w:val="28"/>
        </w:rPr>
        <w:t xml:space="preserve">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  <w:proofErr w:type="gramEnd"/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</w:t>
      </w:r>
      <w:r w:rsidRPr="00CE60F1">
        <w:rPr>
          <w:rFonts w:ascii="Times New Roman" w:hAnsi="Times New Roman"/>
          <w:sz w:val="28"/>
          <w:szCs w:val="28"/>
        </w:rPr>
        <w:t>н</w:t>
      </w:r>
      <w:r w:rsidRPr="00CE60F1">
        <w:rPr>
          <w:rFonts w:ascii="Times New Roman" w:hAnsi="Times New Roman"/>
          <w:sz w:val="28"/>
          <w:szCs w:val="28"/>
        </w:rPr>
        <w:t>формационного обеспечения населения поселения на основе анализа взаим</w:t>
      </w:r>
      <w:r w:rsidRPr="00CE60F1">
        <w:rPr>
          <w:rFonts w:ascii="Times New Roman" w:hAnsi="Times New Roman"/>
          <w:sz w:val="28"/>
          <w:szCs w:val="28"/>
        </w:rPr>
        <w:t>о</w:t>
      </w:r>
      <w:r w:rsidRPr="00CE60F1">
        <w:rPr>
          <w:rFonts w:ascii="Times New Roman" w:hAnsi="Times New Roman"/>
          <w:sz w:val="28"/>
          <w:szCs w:val="28"/>
        </w:rPr>
        <w:t>действия администрации поселения и СМИ, с учетом максимального охвата различных категорий граждан, возможности оперативного и объективного пр</w:t>
      </w:r>
      <w:r w:rsidRPr="00CE60F1">
        <w:rPr>
          <w:rFonts w:ascii="Times New Roman" w:hAnsi="Times New Roman"/>
          <w:sz w:val="28"/>
          <w:szCs w:val="28"/>
        </w:rPr>
        <w:t>е</w:t>
      </w:r>
      <w:r w:rsidRPr="00CE60F1">
        <w:rPr>
          <w:rFonts w:ascii="Times New Roman" w:hAnsi="Times New Roman"/>
          <w:sz w:val="28"/>
          <w:szCs w:val="28"/>
        </w:rPr>
        <w:t>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lastRenderedPageBreak/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в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4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7C196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7C1962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lastRenderedPageBreak/>
        <w:t>-повышение открытости деятельности органов местного самоуправления;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-развитие и использование информационно-коммуникационных технологий;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38" w:type="dxa"/>
          </w:tcPr>
          <w:p w:rsidR="009124B7" w:rsidRPr="00FD5CA5" w:rsidRDefault="0044166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538" w:type="dxa"/>
          </w:tcPr>
          <w:p w:rsidR="009124B7" w:rsidRPr="00FD5CA5" w:rsidRDefault="009124B7" w:rsidP="0044166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201</w:t>
            </w:r>
            <w:r w:rsidR="0044166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24" w:type="dxa"/>
            <w:gridSpan w:val="2"/>
          </w:tcPr>
          <w:p w:rsidR="009124B7" w:rsidRPr="00FD5CA5" w:rsidRDefault="00441660" w:rsidP="004416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ленных экземпляров 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зет о деятельности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78114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  <w:r w:rsidR="00781140">
              <w:rPr>
                <w:rFonts w:ascii="Times New Roman" w:hAnsi="Times New Roman"/>
                <w:sz w:val="28"/>
                <w:szCs w:val="28"/>
              </w:rPr>
              <w:t>6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граммного оборудования 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089" w:type="dxa"/>
          </w:tcPr>
          <w:p w:rsidR="009124B7" w:rsidRPr="00FD5CA5" w:rsidRDefault="00781140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приобр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е</w:t>
            </w:r>
            <w:r w:rsidR="007C1962">
              <w:rPr>
                <w:rFonts w:ascii="Times New Roman" w:hAnsi="Times New Roman"/>
                <w:sz w:val="28"/>
                <w:szCs w:val="28"/>
              </w:rPr>
              <w:t>тенных</w:t>
            </w:r>
            <w:r w:rsidR="007C1962" w:rsidRPr="00FD5CA5">
              <w:rPr>
                <w:rFonts w:ascii="Times New Roman" w:hAnsi="Times New Roman"/>
                <w:sz w:val="28"/>
                <w:szCs w:val="28"/>
              </w:rPr>
              <w:t xml:space="preserve"> базовых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м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плектов лицензирова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ных программных пр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дуктов, оргтехники, расходных материалов</w:t>
            </w:r>
            <w:r w:rsidR="00AC0BFD">
              <w:rPr>
                <w:rFonts w:ascii="Times New Roman" w:hAnsi="Times New Roman"/>
                <w:sz w:val="28"/>
                <w:szCs w:val="28"/>
              </w:rPr>
              <w:t>,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ремонт, заправка ка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триджей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AE6EC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38" w:type="dxa"/>
          </w:tcPr>
          <w:p w:rsidR="009124B7" w:rsidRPr="00FD5CA5" w:rsidRDefault="009E323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24" w:type="dxa"/>
            <w:gridSpan w:val="2"/>
          </w:tcPr>
          <w:p w:rsidR="009124B7" w:rsidRPr="00FD5CA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4257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5B7507" w:rsidRPr="00FD5CA5" w:rsidRDefault="00933E3B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4" w:type="dxa"/>
            <w:gridSpan w:val="2"/>
          </w:tcPr>
          <w:p w:rsidR="005B7507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сиональную подгото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в</w:t>
            </w:r>
            <w:r w:rsidR="00BA4DB8">
              <w:rPr>
                <w:rFonts w:ascii="Times New Roman" w:hAnsi="Times New Roman"/>
                <w:sz w:val="28"/>
                <w:szCs w:val="28"/>
              </w:rPr>
              <w:t xml:space="preserve">ку, переподготовку и </w:t>
            </w:r>
            <w:r w:rsidR="00BA4DB8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квалифик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а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BC6769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C50F5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8F4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</w:t>
      </w:r>
      <w:r w:rsidRPr="008F45BE">
        <w:rPr>
          <w:rFonts w:ascii="Times New Roman" w:hAnsi="Times New Roman"/>
          <w:sz w:val="28"/>
          <w:szCs w:val="28"/>
        </w:rPr>
        <w:t>е</w:t>
      </w:r>
      <w:r w:rsidRPr="008F45BE">
        <w:rPr>
          <w:rFonts w:ascii="Times New Roman" w:hAnsi="Times New Roman"/>
          <w:sz w:val="28"/>
          <w:szCs w:val="28"/>
        </w:rPr>
        <w:t>домственные целевые программы.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осущес</w:t>
      </w:r>
      <w:r w:rsidRPr="008F45BE">
        <w:rPr>
          <w:rFonts w:ascii="Times New Roman" w:hAnsi="Times New Roman"/>
          <w:sz w:val="28"/>
          <w:szCs w:val="28"/>
        </w:rPr>
        <w:t>т</w:t>
      </w:r>
      <w:r w:rsidRPr="008F45BE">
        <w:rPr>
          <w:rFonts w:ascii="Times New Roman" w:hAnsi="Times New Roman"/>
          <w:sz w:val="28"/>
          <w:szCs w:val="28"/>
        </w:rPr>
        <w:t>вляется путем скоординированного выполнения комплекса взаимоувязанных по срокам, ресурсам, и результатам мероприятий.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</w:t>
      </w:r>
      <w:r w:rsidRPr="008F45BE">
        <w:rPr>
          <w:rFonts w:ascii="Times New Roman" w:hAnsi="Times New Roman"/>
          <w:sz w:val="28"/>
          <w:szCs w:val="28"/>
        </w:rPr>
        <w:t>с</w:t>
      </w:r>
      <w:r w:rsidRPr="008F45BE">
        <w:rPr>
          <w:rFonts w:ascii="Times New Roman" w:hAnsi="Times New Roman"/>
          <w:sz w:val="28"/>
          <w:szCs w:val="28"/>
        </w:rPr>
        <w:t>новных мероприятий: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</w:t>
      </w:r>
      <w:r w:rsidRPr="008F45BE">
        <w:rPr>
          <w:rFonts w:ascii="Times New Roman" w:hAnsi="Times New Roman"/>
          <w:color w:val="000000"/>
          <w:sz w:val="28"/>
          <w:szCs w:val="28"/>
        </w:rPr>
        <w:t>е</w:t>
      </w:r>
      <w:r w:rsidRPr="008F45BE">
        <w:rPr>
          <w:rFonts w:ascii="Times New Roman" w:hAnsi="Times New Roman"/>
          <w:color w:val="000000"/>
          <w:sz w:val="28"/>
          <w:szCs w:val="28"/>
        </w:rPr>
        <w:t>ние актуальной и объективной социально-значимой информации до населения.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</w:t>
      </w:r>
      <w:proofErr w:type="gramStart"/>
      <w:r w:rsidRPr="008F45BE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F45BE">
        <w:rPr>
          <w:rFonts w:ascii="Times New Roman" w:hAnsi="Times New Roman"/>
          <w:color w:val="000000"/>
          <w:sz w:val="28"/>
          <w:szCs w:val="28"/>
        </w:rPr>
        <w:t xml:space="preserve"> коммуникацио</w:t>
      </w:r>
      <w:r w:rsidRPr="008F45BE">
        <w:rPr>
          <w:rFonts w:ascii="Times New Roman" w:hAnsi="Times New Roman"/>
          <w:color w:val="000000"/>
          <w:sz w:val="28"/>
          <w:szCs w:val="28"/>
        </w:rPr>
        <w:t>н</w:t>
      </w:r>
      <w:r w:rsidRPr="008F45BE">
        <w:rPr>
          <w:rFonts w:ascii="Times New Roman" w:hAnsi="Times New Roman"/>
          <w:color w:val="000000"/>
          <w:sz w:val="28"/>
          <w:szCs w:val="28"/>
        </w:rPr>
        <w:t>ных технологий, защита информации».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"Обслуживание</w:t>
      </w:r>
      <w:r>
        <w:rPr>
          <w:rFonts w:ascii="Times New Roman" w:hAnsi="Times New Roman"/>
          <w:sz w:val="28"/>
          <w:szCs w:val="28"/>
        </w:rPr>
        <w:t xml:space="preserve"> и приобретение</w:t>
      </w:r>
      <w:r w:rsidRPr="008F45BE">
        <w:rPr>
          <w:rFonts w:ascii="Times New Roman" w:hAnsi="Times New Roman"/>
          <w:sz w:val="28"/>
          <w:szCs w:val="28"/>
        </w:rPr>
        <w:t xml:space="preserve"> лицензированного системного програм</w:t>
      </w:r>
      <w:r w:rsidRPr="008F45BE">
        <w:rPr>
          <w:rFonts w:ascii="Times New Roman" w:hAnsi="Times New Roman"/>
          <w:sz w:val="28"/>
          <w:szCs w:val="28"/>
        </w:rPr>
        <w:t>м</w:t>
      </w:r>
      <w:r w:rsidRPr="008F45BE">
        <w:rPr>
          <w:rFonts w:ascii="Times New Roman" w:hAnsi="Times New Roman"/>
          <w:sz w:val="28"/>
          <w:szCs w:val="28"/>
        </w:rPr>
        <w:t>ного оборудова</w:t>
      </w:r>
      <w:r>
        <w:rPr>
          <w:rFonts w:ascii="Times New Roman" w:hAnsi="Times New Roman"/>
          <w:sz w:val="28"/>
          <w:szCs w:val="28"/>
        </w:rPr>
        <w:t>ния "</w:t>
      </w:r>
      <w:r w:rsidRPr="008F45BE">
        <w:rPr>
          <w:rFonts w:ascii="Times New Roman" w:hAnsi="Times New Roman"/>
          <w:sz w:val="28"/>
          <w:szCs w:val="28"/>
        </w:rPr>
        <w:t>:</w:t>
      </w:r>
    </w:p>
    <w:p w:rsidR="009124B7" w:rsidRDefault="009124B7" w:rsidP="001B5B9E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F45BE">
        <w:rPr>
          <w:rFonts w:ascii="Times New Roman" w:hAnsi="Times New Roman"/>
          <w:sz w:val="28"/>
          <w:szCs w:val="28"/>
        </w:rPr>
        <w:t>приобретение антивирусного программного продукта, продление лицензии. Приобретение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</w:t>
      </w:r>
      <w:r w:rsidRPr="008F45BE">
        <w:rPr>
          <w:rFonts w:ascii="Times New Roman" w:hAnsi="Times New Roman"/>
          <w:sz w:val="28"/>
          <w:szCs w:val="28"/>
        </w:rPr>
        <w:t>и</w:t>
      </w:r>
      <w:r w:rsidRPr="008F45BE">
        <w:rPr>
          <w:rFonts w:ascii="Times New Roman" w:hAnsi="Times New Roman"/>
          <w:sz w:val="28"/>
          <w:szCs w:val="28"/>
        </w:rPr>
        <w:t>обретение программных продуктов, а также оплата услуг по их обслуживанию.</w:t>
      </w:r>
    </w:p>
    <w:p w:rsidR="00BA4DB8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товка и повышение квалификации»</w:t>
      </w:r>
    </w:p>
    <w:p w:rsidR="00BA4DB8" w:rsidRPr="008F45BE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рового потенциала организаций и учреждений сельского поселения Кубанец.</w:t>
      </w:r>
    </w:p>
    <w:p w:rsidR="001B5B9E" w:rsidRDefault="009124B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124B7" w:rsidRPr="00337621" w:rsidRDefault="009124B7" w:rsidP="00337621">
      <w:pPr>
        <w:pStyle w:val="af0"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</w:t>
      </w:r>
      <w:r w:rsidRPr="00BA4DB8">
        <w:rPr>
          <w:bCs/>
          <w:sz w:val="28"/>
          <w:szCs w:val="28"/>
        </w:rPr>
        <w:t>у</w:t>
      </w:r>
      <w:r w:rsidRPr="00BA4DB8">
        <w:rPr>
          <w:bCs/>
          <w:sz w:val="28"/>
          <w:szCs w:val="28"/>
        </w:rPr>
        <w:t>банец Тимашевского района</w:t>
      </w:r>
      <w:r w:rsidR="00441660" w:rsidRPr="00BA4DB8">
        <w:rPr>
          <w:bCs/>
          <w:sz w:val="28"/>
          <w:szCs w:val="28"/>
        </w:rPr>
        <w:t xml:space="preserve"> на 2018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20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33762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</w:t>
      </w:r>
      <w:r w:rsidRPr="00337621">
        <w:rPr>
          <w:rFonts w:ascii="Times New Roman" w:hAnsi="Times New Roman"/>
          <w:sz w:val="28"/>
          <w:szCs w:val="28"/>
          <w:lang w:eastAsia="ru-RU"/>
        </w:rPr>
        <w:t>н</w:t>
      </w:r>
      <w:r w:rsidRPr="00337621">
        <w:rPr>
          <w:rFonts w:ascii="Times New Roman" w:hAnsi="Times New Roman"/>
          <w:sz w:val="28"/>
          <w:szCs w:val="28"/>
          <w:lang w:eastAsia="ru-RU"/>
        </w:rPr>
        <w:t>ных в бюджете на эти цели.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2018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83"/>
        <w:gridCol w:w="1134"/>
        <w:gridCol w:w="971"/>
      </w:tblGrid>
      <w:tr w:rsidR="009124B7" w:rsidRPr="00FD5CA5" w:rsidTr="009E63FF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4166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201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4166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201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4166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9E63FF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5B750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33E3B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24257D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24257D" w:rsidP="00160DB4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638,0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(выполнение работ) </w:t>
      </w:r>
      <w:proofErr w:type="gramStart"/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муниципальными</w:t>
      </w:r>
      <w:proofErr w:type="gramEnd"/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6B1332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3 к Порядку принятия решения о 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ра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з</w:t>
      </w:r>
      <w:r w:rsidR="00AE6EC7">
        <w:rPr>
          <w:rFonts w:ascii="Times New Roman" w:hAnsi="Times New Roman"/>
          <w:bCs/>
          <w:color w:val="26282F"/>
          <w:sz w:val="28"/>
          <w:szCs w:val="28"/>
          <w:lang w:eastAsia="ru-RU"/>
        </w:rPr>
        <w:t>работке муниципальных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нистрации сельского поселения Кубанец Тимашевского района от 3 марта 2014 года №14.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7C1962"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отчётным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A5797B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первой категории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bookmarkStart w:id="6" w:name="_GoBack"/>
      <w:bookmarkEnd w:id="6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73C" w:rsidRDefault="009B773C" w:rsidP="00D74DD0">
      <w:r>
        <w:separator/>
      </w:r>
    </w:p>
  </w:endnote>
  <w:endnote w:type="continuationSeparator" w:id="0">
    <w:p w:rsidR="009B773C" w:rsidRDefault="009B773C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73C" w:rsidRDefault="009B773C" w:rsidP="00D74DD0">
      <w:r>
        <w:separator/>
      </w:r>
    </w:p>
  </w:footnote>
  <w:footnote w:type="continuationSeparator" w:id="0">
    <w:p w:rsidR="009B773C" w:rsidRDefault="009B773C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B7" w:rsidRDefault="00CA0BC4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24257D">
      <w:rPr>
        <w:noProof/>
      </w:rPr>
      <w:t>8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042C"/>
    <w:rsid w:val="000223AB"/>
    <w:rsid w:val="000232BB"/>
    <w:rsid w:val="0003586B"/>
    <w:rsid w:val="00045ADA"/>
    <w:rsid w:val="0005404F"/>
    <w:rsid w:val="00054810"/>
    <w:rsid w:val="000572B8"/>
    <w:rsid w:val="00065911"/>
    <w:rsid w:val="000732B7"/>
    <w:rsid w:val="00083DF6"/>
    <w:rsid w:val="00084781"/>
    <w:rsid w:val="000A6F8B"/>
    <w:rsid w:val="000B09B5"/>
    <w:rsid w:val="000B640E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B52F8"/>
    <w:rsid w:val="001B5B9E"/>
    <w:rsid w:val="001B683D"/>
    <w:rsid w:val="001C6C09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257D"/>
    <w:rsid w:val="00245017"/>
    <w:rsid w:val="002479CD"/>
    <w:rsid w:val="00250FFA"/>
    <w:rsid w:val="002611FB"/>
    <w:rsid w:val="00263704"/>
    <w:rsid w:val="002850DC"/>
    <w:rsid w:val="00296490"/>
    <w:rsid w:val="002B61CD"/>
    <w:rsid w:val="002D3C82"/>
    <w:rsid w:val="002D619B"/>
    <w:rsid w:val="002F2167"/>
    <w:rsid w:val="002F397E"/>
    <w:rsid w:val="003022EE"/>
    <w:rsid w:val="00320D7E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E10A0"/>
    <w:rsid w:val="003E49B4"/>
    <w:rsid w:val="003E57ED"/>
    <w:rsid w:val="003F05F2"/>
    <w:rsid w:val="004351AB"/>
    <w:rsid w:val="00441660"/>
    <w:rsid w:val="0045039B"/>
    <w:rsid w:val="00473F11"/>
    <w:rsid w:val="0048040B"/>
    <w:rsid w:val="0048120A"/>
    <w:rsid w:val="004905CF"/>
    <w:rsid w:val="00494774"/>
    <w:rsid w:val="004B4275"/>
    <w:rsid w:val="004C26BF"/>
    <w:rsid w:val="004D6612"/>
    <w:rsid w:val="004F4C9C"/>
    <w:rsid w:val="005008A3"/>
    <w:rsid w:val="00501E92"/>
    <w:rsid w:val="005178D5"/>
    <w:rsid w:val="00533D12"/>
    <w:rsid w:val="005649EF"/>
    <w:rsid w:val="00565746"/>
    <w:rsid w:val="00566F62"/>
    <w:rsid w:val="00573442"/>
    <w:rsid w:val="005773C6"/>
    <w:rsid w:val="00592E6F"/>
    <w:rsid w:val="005A1F42"/>
    <w:rsid w:val="005A6CAD"/>
    <w:rsid w:val="005B7507"/>
    <w:rsid w:val="005C6601"/>
    <w:rsid w:val="005E3A77"/>
    <w:rsid w:val="005F4607"/>
    <w:rsid w:val="00600238"/>
    <w:rsid w:val="006010C0"/>
    <w:rsid w:val="00603496"/>
    <w:rsid w:val="006160E4"/>
    <w:rsid w:val="0061711D"/>
    <w:rsid w:val="00632B1A"/>
    <w:rsid w:val="00635821"/>
    <w:rsid w:val="00646BBC"/>
    <w:rsid w:val="00652DFF"/>
    <w:rsid w:val="00655743"/>
    <w:rsid w:val="00672581"/>
    <w:rsid w:val="006754DD"/>
    <w:rsid w:val="006969CB"/>
    <w:rsid w:val="006B1332"/>
    <w:rsid w:val="006B6168"/>
    <w:rsid w:val="006C2996"/>
    <w:rsid w:val="006D317A"/>
    <w:rsid w:val="006E4C00"/>
    <w:rsid w:val="006F0601"/>
    <w:rsid w:val="006F08AC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81140"/>
    <w:rsid w:val="0078302D"/>
    <w:rsid w:val="00791320"/>
    <w:rsid w:val="00795FD2"/>
    <w:rsid w:val="0079694E"/>
    <w:rsid w:val="007A57DC"/>
    <w:rsid w:val="007A59EB"/>
    <w:rsid w:val="007C1962"/>
    <w:rsid w:val="007D3C1D"/>
    <w:rsid w:val="007E24A7"/>
    <w:rsid w:val="007E3562"/>
    <w:rsid w:val="007E5CE0"/>
    <w:rsid w:val="007F17B4"/>
    <w:rsid w:val="008115A4"/>
    <w:rsid w:val="00813952"/>
    <w:rsid w:val="008144F2"/>
    <w:rsid w:val="00820549"/>
    <w:rsid w:val="0082213E"/>
    <w:rsid w:val="00854F5E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B773C"/>
    <w:rsid w:val="009D3AF0"/>
    <w:rsid w:val="009D4FC3"/>
    <w:rsid w:val="009D795B"/>
    <w:rsid w:val="009E323D"/>
    <w:rsid w:val="009E63FF"/>
    <w:rsid w:val="00A108B6"/>
    <w:rsid w:val="00A139BA"/>
    <w:rsid w:val="00A14624"/>
    <w:rsid w:val="00A330DB"/>
    <w:rsid w:val="00A35B10"/>
    <w:rsid w:val="00A35CCE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6769"/>
    <w:rsid w:val="00BC7FE4"/>
    <w:rsid w:val="00BD67CD"/>
    <w:rsid w:val="00BE6DCC"/>
    <w:rsid w:val="00C118FD"/>
    <w:rsid w:val="00C13C51"/>
    <w:rsid w:val="00C20FCB"/>
    <w:rsid w:val="00C26941"/>
    <w:rsid w:val="00C32258"/>
    <w:rsid w:val="00C375AD"/>
    <w:rsid w:val="00C37FF4"/>
    <w:rsid w:val="00C50F55"/>
    <w:rsid w:val="00C92E34"/>
    <w:rsid w:val="00C944A7"/>
    <w:rsid w:val="00CA0BC4"/>
    <w:rsid w:val="00CC1D08"/>
    <w:rsid w:val="00CE60F1"/>
    <w:rsid w:val="00CF3161"/>
    <w:rsid w:val="00D00293"/>
    <w:rsid w:val="00D2244E"/>
    <w:rsid w:val="00D260DB"/>
    <w:rsid w:val="00D30580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613EF"/>
    <w:rsid w:val="00E61AD6"/>
    <w:rsid w:val="00E67A49"/>
    <w:rsid w:val="00E75CCA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AFFE4-2C42-41A2-91B1-146B2119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1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153</cp:revision>
  <cp:lastPrinted>2019-11-14T10:41:00Z</cp:lastPrinted>
  <dcterms:created xsi:type="dcterms:W3CDTF">2014-07-07T05:49:00Z</dcterms:created>
  <dcterms:modified xsi:type="dcterms:W3CDTF">2020-12-14T09:55:00Z</dcterms:modified>
</cp:coreProperties>
</file>